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4CE6" w:rsidRPr="00434733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Отчет</w:t>
      </w:r>
    </w:p>
    <w:p w:rsidR="00FA4CE6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 проведении публичных консультаций</w:t>
      </w:r>
    </w:p>
    <w:p w:rsidR="00993E37" w:rsidRDefault="00993E37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F24F1" w:rsidRDefault="000F24F1" w:rsidP="000F24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сельского хозяйства администрации Сосновского муниципального округа Нижегородской области</w:t>
      </w:r>
    </w:p>
    <w:p w:rsidR="00993E37" w:rsidRDefault="00993E37" w:rsidP="000F24F1">
      <w:pPr>
        <w:widowControl w:val="0"/>
        <w:autoSpaceDE w:val="0"/>
        <w:autoSpaceDN w:val="0"/>
        <w:adjustRightInd w:val="0"/>
        <w:ind w:firstLine="708"/>
        <w:jc w:val="center"/>
        <w:rPr>
          <w:sz w:val="16"/>
          <w:szCs w:val="16"/>
          <w:lang w:eastAsia="ru-RU"/>
        </w:rPr>
      </w:pPr>
      <w:r w:rsidRPr="000649FD">
        <w:rPr>
          <w:sz w:val="16"/>
          <w:szCs w:val="16"/>
          <w:lang w:eastAsia="ru-RU"/>
        </w:rPr>
        <w:t>(наименование регулирующего органа)</w:t>
      </w:r>
    </w:p>
    <w:p w:rsidR="00E77B8D" w:rsidRDefault="00993E37" w:rsidP="00E77B8D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  <w:lang w:eastAsia="ru-RU"/>
        </w:rPr>
      </w:pPr>
      <w:r w:rsidRPr="000649FD">
        <w:rPr>
          <w:sz w:val="28"/>
          <w:szCs w:val="28"/>
          <w:lang w:eastAsia="ru-RU"/>
        </w:rPr>
        <w:t>Проект</w:t>
      </w:r>
      <w:r w:rsidRPr="00993E37">
        <w:rPr>
          <w:sz w:val="28"/>
          <w:szCs w:val="28"/>
          <w:lang w:eastAsia="ru-RU"/>
        </w:rPr>
        <w:t xml:space="preserve"> </w:t>
      </w:r>
      <w:r w:rsidR="000F24F1">
        <w:rPr>
          <w:sz w:val="28"/>
          <w:szCs w:val="28"/>
          <w:lang w:eastAsia="ru-RU"/>
        </w:rPr>
        <w:t>п</w:t>
      </w:r>
      <w:r w:rsidR="000F24F1" w:rsidRPr="000F24F1">
        <w:rPr>
          <w:sz w:val="28"/>
          <w:szCs w:val="28"/>
          <w:lang w:eastAsia="ru-RU"/>
        </w:rPr>
        <w:t>остановления администрации Сосновского муниципального округа Нижегородской обла</w:t>
      </w:r>
      <w:r w:rsidR="000F24F1" w:rsidRPr="001D2F96">
        <w:rPr>
          <w:sz w:val="28"/>
          <w:szCs w:val="28"/>
          <w:lang w:eastAsia="ru-RU"/>
        </w:rPr>
        <w:t xml:space="preserve">сти </w:t>
      </w:r>
      <w:r w:rsidR="00E77B8D" w:rsidRPr="00E77B8D">
        <w:rPr>
          <w:sz w:val="28"/>
          <w:szCs w:val="28"/>
          <w:lang w:eastAsia="ru-RU"/>
        </w:rPr>
        <w:t>«</w:t>
      </w:r>
      <w:r w:rsidR="005348CE">
        <w:rPr>
          <w:sz w:val="28"/>
          <w:szCs w:val="28"/>
          <w:lang w:eastAsia="ru-RU"/>
        </w:rPr>
        <w:t>Об утверждении Порядка предоставления субсидий из местного бюджета на возмещение части затрат на приобретение оборудования и техники</w:t>
      </w:r>
      <w:r w:rsidR="00E77B8D" w:rsidRPr="00E77B8D">
        <w:rPr>
          <w:sz w:val="28"/>
          <w:szCs w:val="28"/>
          <w:lang w:eastAsia="ru-RU"/>
        </w:rPr>
        <w:t>»</w:t>
      </w:r>
      <w:r w:rsidR="00E77B8D">
        <w:rPr>
          <w:sz w:val="28"/>
          <w:szCs w:val="28"/>
          <w:lang w:eastAsia="ru-RU"/>
        </w:rPr>
        <w:t>.</w:t>
      </w:r>
    </w:p>
    <w:p w:rsidR="00993E37" w:rsidRDefault="00993E37" w:rsidP="00E77B8D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8A5552">
        <w:rPr>
          <w:sz w:val="16"/>
          <w:szCs w:val="16"/>
          <w:lang w:eastAsia="ru-RU"/>
        </w:rPr>
        <w:t>(наименование проекта акта</w:t>
      </w:r>
      <w:r>
        <w:rPr>
          <w:sz w:val="16"/>
          <w:szCs w:val="16"/>
          <w:lang w:eastAsia="ru-RU"/>
        </w:rPr>
        <w:t>)</w:t>
      </w:r>
    </w:p>
    <w:p w:rsidR="00FA4CE6" w:rsidRPr="008A5552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FA4CE6" w:rsidRPr="008A5552">
        <w:rPr>
          <w:sz w:val="28"/>
          <w:szCs w:val="28"/>
          <w:lang w:eastAsia="ru-RU"/>
        </w:rPr>
        <w:t>1. Срок проведения публичных консультаций:</w:t>
      </w:r>
    </w:p>
    <w:p w:rsidR="001F457F" w:rsidRPr="001F457F" w:rsidRDefault="001F457F" w:rsidP="001F457F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1F457F">
        <w:rPr>
          <w:sz w:val="28"/>
          <w:szCs w:val="28"/>
          <w:lang w:eastAsia="ru-RU"/>
        </w:rPr>
        <w:t>"</w:t>
      </w:r>
      <w:r w:rsidR="005348CE">
        <w:rPr>
          <w:sz w:val="28"/>
          <w:szCs w:val="28"/>
          <w:lang w:eastAsia="ru-RU"/>
        </w:rPr>
        <w:t>19</w:t>
      </w:r>
      <w:r w:rsidRPr="001F457F">
        <w:rPr>
          <w:sz w:val="28"/>
          <w:szCs w:val="28"/>
          <w:lang w:eastAsia="ru-RU"/>
        </w:rPr>
        <w:t xml:space="preserve">" </w:t>
      </w:r>
      <w:r w:rsidR="005348CE">
        <w:rPr>
          <w:sz w:val="28"/>
          <w:szCs w:val="28"/>
          <w:lang w:eastAsia="ru-RU"/>
        </w:rPr>
        <w:t>апреля</w:t>
      </w:r>
      <w:r w:rsidRPr="001F457F">
        <w:rPr>
          <w:sz w:val="28"/>
          <w:szCs w:val="28"/>
          <w:lang w:eastAsia="ru-RU"/>
        </w:rPr>
        <w:t xml:space="preserve"> 20</w:t>
      </w:r>
      <w:r w:rsidRPr="005348CE">
        <w:rPr>
          <w:sz w:val="28"/>
          <w:szCs w:val="28"/>
          <w:lang w:eastAsia="ru-RU"/>
        </w:rPr>
        <w:t>24</w:t>
      </w:r>
      <w:r w:rsidRPr="001F457F">
        <w:rPr>
          <w:sz w:val="28"/>
          <w:szCs w:val="28"/>
          <w:lang w:eastAsia="ru-RU"/>
        </w:rPr>
        <w:t xml:space="preserve"> года - "</w:t>
      </w:r>
      <w:r w:rsidR="00E77B8D">
        <w:rPr>
          <w:sz w:val="28"/>
          <w:szCs w:val="28"/>
          <w:lang w:eastAsia="ru-RU"/>
        </w:rPr>
        <w:t>1</w:t>
      </w:r>
      <w:r w:rsidR="005348CE">
        <w:rPr>
          <w:sz w:val="28"/>
          <w:szCs w:val="28"/>
          <w:lang w:eastAsia="ru-RU"/>
        </w:rPr>
        <w:t>8</w:t>
      </w:r>
      <w:r w:rsidRPr="001F457F">
        <w:rPr>
          <w:sz w:val="28"/>
          <w:szCs w:val="28"/>
          <w:lang w:eastAsia="ru-RU"/>
        </w:rPr>
        <w:t xml:space="preserve">" </w:t>
      </w:r>
      <w:r w:rsidR="005348CE">
        <w:rPr>
          <w:sz w:val="28"/>
          <w:szCs w:val="28"/>
          <w:lang w:eastAsia="ru-RU"/>
        </w:rPr>
        <w:t>мая</w:t>
      </w:r>
      <w:r w:rsidRPr="001F457F">
        <w:rPr>
          <w:sz w:val="28"/>
          <w:szCs w:val="28"/>
          <w:lang w:eastAsia="ru-RU"/>
        </w:rPr>
        <w:t xml:space="preserve"> 2024 года</w:t>
      </w:r>
    </w:p>
    <w:p w:rsidR="00FA4CE6" w:rsidRPr="008C41CB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A4CE6" w:rsidRPr="008A5552">
        <w:rPr>
          <w:sz w:val="28"/>
          <w:szCs w:val="28"/>
          <w:lang w:eastAsia="ru-RU"/>
        </w:rPr>
        <w:t>2. Проведенные формы публичных консультаций:</w:t>
      </w:r>
    </w:p>
    <w:tbl>
      <w:tblPr>
        <w:tblW w:w="96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386"/>
        <w:gridCol w:w="2410"/>
        <w:gridCol w:w="1581"/>
      </w:tblGrid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6A5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предложений и замечаний участников публичных консультаций посредством электронной почты и на бумажном носителе.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7F" w:rsidRPr="001F457F" w:rsidRDefault="005348CE" w:rsidP="001F4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1D2F9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апреля</w:t>
            </w:r>
            <w:r w:rsidR="001F457F" w:rsidRPr="001F457F">
              <w:rPr>
                <w:sz w:val="28"/>
                <w:szCs w:val="28"/>
                <w:lang w:eastAsia="ru-RU"/>
              </w:rPr>
              <w:t xml:space="preserve"> 20</w:t>
            </w:r>
            <w:r w:rsidR="001F457F" w:rsidRPr="001F457F">
              <w:rPr>
                <w:sz w:val="28"/>
                <w:szCs w:val="28"/>
                <w:lang w:val="en-US" w:eastAsia="ru-RU"/>
              </w:rPr>
              <w:t>24</w:t>
            </w:r>
            <w:r w:rsidR="001F457F" w:rsidRPr="001F457F">
              <w:rPr>
                <w:sz w:val="28"/>
                <w:szCs w:val="28"/>
                <w:lang w:eastAsia="ru-RU"/>
              </w:rPr>
              <w:t xml:space="preserve"> </w:t>
            </w:r>
            <w:r w:rsidR="001F457F">
              <w:rPr>
                <w:sz w:val="28"/>
                <w:szCs w:val="28"/>
                <w:lang w:eastAsia="ru-RU"/>
              </w:rPr>
              <w:t xml:space="preserve">года </w:t>
            </w:r>
            <w:r w:rsidR="00173EBD">
              <w:rPr>
                <w:sz w:val="28"/>
                <w:szCs w:val="28"/>
                <w:lang w:eastAsia="ru-RU"/>
              </w:rPr>
              <w:t>–</w:t>
            </w:r>
            <w:r w:rsidR="001F457F">
              <w:rPr>
                <w:sz w:val="28"/>
                <w:szCs w:val="28"/>
                <w:lang w:eastAsia="ru-RU"/>
              </w:rPr>
              <w:t xml:space="preserve"> </w:t>
            </w:r>
            <w:r w:rsidR="001D2F96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8</w:t>
            </w:r>
            <w:r w:rsidR="00173EB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мая</w:t>
            </w:r>
            <w:r w:rsidR="001F457F" w:rsidRPr="001F457F">
              <w:rPr>
                <w:sz w:val="28"/>
                <w:szCs w:val="28"/>
                <w:lang w:eastAsia="ru-RU"/>
              </w:rPr>
              <w:t xml:space="preserve"> 2024 года</w:t>
            </w:r>
          </w:p>
          <w:p w:rsidR="00FA4CE6" w:rsidRPr="00C46516" w:rsidRDefault="00FA4CE6" w:rsidP="00993E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5348CE" w:rsidP="00606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FA4CE6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3. Список участников публичных консультаций:</w:t>
      </w:r>
    </w:p>
    <w:p w:rsidR="001D2F96" w:rsidRPr="00924FEC" w:rsidRDefault="001D2F96" w:rsidP="00FA4CE6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924FEC">
        <w:rPr>
          <w:sz w:val="28"/>
          <w:szCs w:val="28"/>
          <w:shd w:val="clear" w:color="auto" w:fill="FFFFFF"/>
        </w:rPr>
        <w:t xml:space="preserve">1. </w:t>
      </w:r>
      <w:r w:rsidR="00924FEC" w:rsidRPr="00924FEC">
        <w:rPr>
          <w:sz w:val="28"/>
          <w:szCs w:val="28"/>
          <w:shd w:val="clear" w:color="auto" w:fill="FFFFFF"/>
        </w:rPr>
        <w:t>АНО «</w:t>
      </w:r>
      <w:r w:rsidRPr="00924FEC">
        <w:rPr>
          <w:sz w:val="28"/>
          <w:szCs w:val="28"/>
          <w:shd w:val="clear" w:color="auto" w:fill="FFFFFF"/>
        </w:rPr>
        <w:t>Нижегородский центр общественных процедур «Бизнес против коррупции»</w:t>
      </w:r>
      <w:r w:rsidR="005348CE">
        <w:rPr>
          <w:sz w:val="28"/>
          <w:szCs w:val="28"/>
          <w:shd w:val="clear" w:color="auto" w:fill="FFFFFF"/>
        </w:rPr>
        <w:t>;</w:t>
      </w:r>
    </w:p>
    <w:p w:rsidR="001D2F96" w:rsidRPr="00B31B04" w:rsidRDefault="001D2F96" w:rsidP="00FA4CE6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B31B04">
        <w:rPr>
          <w:sz w:val="28"/>
          <w:szCs w:val="28"/>
          <w:shd w:val="clear" w:color="auto" w:fill="FFFFFF"/>
        </w:rPr>
        <w:t>2.</w:t>
      </w:r>
      <w:r w:rsidR="005348CE">
        <w:rPr>
          <w:sz w:val="28"/>
          <w:szCs w:val="28"/>
          <w:shd w:val="clear" w:color="auto" w:fill="FFFFFF"/>
        </w:rPr>
        <w:t xml:space="preserve"> </w:t>
      </w:r>
      <w:r w:rsidR="005348CE" w:rsidRPr="005348CE">
        <w:rPr>
          <w:sz w:val="28"/>
          <w:szCs w:val="28"/>
          <w:shd w:val="clear" w:color="auto" w:fill="FFFFFF"/>
        </w:rPr>
        <w:t>Нижегородское региональное отделение «ОПОРЫ РОССИИ»;</w:t>
      </w:r>
    </w:p>
    <w:p w:rsidR="001D2F96" w:rsidRPr="00924FEC" w:rsidRDefault="001D2F96" w:rsidP="00FA4CE6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924FEC">
        <w:rPr>
          <w:sz w:val="28"/>
          <w:szCs w:val="28"/>
          <w:lang w:eastAsia="ru-RU"/>
        </w:rPr>
        <w:t xml:space="preserve">3. </w:t>
      </w:r>
      <w:r w:rsidRPr="00924FEC">
        <w:rPr>
          <w:sz w:val="28"/>
          <w:szCs w:val="28"/>
          <w:shd w:val="clear" w:color="auto" w:fill="FFFFFF"/>
        </w:rPr>
        <w:t>АНО «Сосновский центр развития бизнеса»</w:t>
      </w:r>
      <w:r w:rsidR="005348CE">
        <w:rPr>
          <w:sz w:val="28"/>
          <w:szCs w:val="28"/>
          <w:shd w:val="clear" w:color="auto" w:fill="FFFFFF"/>
        </w:rPr>
        <w:t>;</w:t>
      </w:r>
    </w:p>
    <w:p w:rsidR="001D2F96" w:rsidRPr="00924FEC" w:rsidRDefault="001D2F9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24FEC">
        <w:rPr>
          <w:sz w:val="28"/>
          <w:szCs w:val="28"/>
          <w:lang w:eastAsia="ru-RU"/>
        </w:rPr>
        <w:t>4. ООО «Тент-</w:t>
      </w:r>
      <w:proofErr w:type="spellStart"/>
      <w:r w:rsidRPr="00924FEC">
        <w:rPr>
          <w:sz w:val="28"/>
          <w:szCs w:val="28"/>
          <w:lang w:eastAsia="ru-RU"/>
        </w:rPr>
        <w:t>Пром</w:t>
      </w:r>
      <w:proofErr w:type="spellEnd"/>
      <w:r w:rsidRPr="00924FEC">
        <w:rPr>
          <w:sz w:val="28"/>
          <w:szCs w:val="28"/>
          <w:lang w:eastAsia="ru-RU"/>
        </w:rPr>
        <w:t>»</w:t>
      </w:r>
      <w:r w:rsidR="005348CE">
        <w:rPr>
          <w:sz w:val="28"/>
          <w:szCs w:val="28"/>
          <w:lang w:eastAsia="ru-RU"/>
        </w:rPr>
        <w:t>;</w:t>
      </w:r>
    </w:p>
    <w:p w:rsidR="001D2F96" w:rsidRDefault="001D2F96" w:rsidP="001D2F9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24FEC">
        <w:rPr>
          <w:sz w:val="28"/>
          <w:szCs w:val="28"/>
          <w:lang w:eastAsia="ru-RU"/>
        </w:rPr>
        <w:t>5. ООО «Шанс»</w:t>
      </w:r>
      <w:r w:rsidR="005348CE">
        <w:rPr>
          <w:sz w:val="28"/>
          <w:szCs w:val="28"/>
          <w:lang w:eastAsia="ru-RU"/>
        </w:rPr>
        <w:t>;</w:t>
      </w:r>
    </w:p>
    <w:p w:rsidR="005348CE" w:rsidRDefault="005348CE" w:rsidP="001D2F9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ООО «Вкус».</w:t>
      </w:r>
    </w:p>
    <w:p w:rsidR="001D2F96" w:rsidRPr="008A5552" w:rsidRDefault="001D2F9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A4CE6" w:rsidRPr="008A5552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4. Свод замечаний и предложений по результатам публичных консультаций</w:t>
      </w:r>
    </w:p>
    <w:tbl>
      <w:tblPr>
        <w:tblW w:w="994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2977"/>
        <w:gridCol w:w="2998"/>
      </w:tblGrid>
      <w:tr w:rsidR="00015871" w:rsidRPr="00924FEC" w:rsidTr="002B4A19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924FEC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N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924FEC" w:rsidRDefault="00FA4CE6" w:rsidP="001F4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924FEC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924FEC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1D2F96" w:rsidRPr="00924FEC" w:rsidTr="002B4A19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F96" w:rsidRPr="00924FEC" w:rsidRDefault="001D2F9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A63" w:rsidRDefault="00604D17" w:rsidP="00FE4A63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>1. Предлагается внести пункт, определяющий категории получателей субсидии:</w:t>
            </w:r>
          </w:p>
          <w:p w:rsidR="00FE4A63" w:rsidRDefault="00604D17" w:rsidP="00FE4A63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 xml:space="preserve"> «Субсидии предоставляются зарегистрированным и ведущим деятельность на территории муниципального округа и уплачивающим налоги в </w:t>
            </w:r>
            <w:r>
              <w:rPr>
                <w:noProof/>
                <w:sz w:val="28"/>
                <w:szCs w:val="28"/>
                <w:shd w:val="clear" w:color="auto" w:fill="FFFFFF"/>
              </w:rPr>
              <w:lastRenderedPageBreak/>
              <w:t xml:space="preserve">бюджет Нижегородской области получателям субсидии, соответствующим следующим категориям: по направлениям, предусмотренным подпунктами 3.1, 3.2 и 3.5 пункта 3 настоящих Порядка и условий, </w:t>
            </w:r>
          </w:p>
          <w:p w:rsidR="00924FEC" w:rsidRDefault="00604D17" w:rsidP="00FE4A63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 xml:space="preserve">- организациям и индивидуальным предпринимателям (в том числе индивидуальным предпринимателям, </w:t>
            </w:r>
            <w:r w:rsidR="00104FB3">
              <w:rPr>
                <w:noProof/>
                <w:sz w:val="28"/>
                <w:szCs w:val="28"/>
                <w:shd w:val="clear" w:color="auto" w:fill="FFFFFF"/>
              </w:rPr>
              <w:t>являющимся главами крестьянских (фермерских) хозяйств), осуществляющих производство сельскохозяйственной продукции, ее первичную и последующую (промышленную) переработку на территории Нижегородской области и реализующих эту продукцию, при условии, что в общем доходе от реализации товаров (работ, услуг) таких организаций, индивидуальных предпринимателей и крестьянских (фермерских) хозяйств</w:t>
            </w:r>
            <w:r w:rsidR="00B67C97">
              <w:rPr>
                <w:noProof/>
                <w:sz w:val="28"/>
                <w:szCs w:val="28"/>
                <w:shd w:val="clear" w:color="auto" w:fill="FFFFFF"/>
              </w:rPr>
              <w:t xml:space="preserve"> доля дохода от реализации произведенной ими сельскохозяйственной продукции, включая продукцию ее первичной переработки, произведенную ими из сельскохозяйственного сырья собственного производства, составляет не менее 50 процентов за календарный год; </w:t>
            </w:r>
          </w:p>
          <w:p w:rsidR="00FE4A63" w:rsidRDefault="00B67C97" w:rsidP="00FE4A63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 xml:space="preserve">по направлению, </w:t>
            </w:r>
            <w:r>
              <w:rPr>
                <w:noProof/>
                <w:sz w:val="28"/>
                <w:szCs w:val="28"/>
                <w:shd w:val="clear" w:color="auto" w:fill="FFFFFF"/>
              </w:rPr>
              <w:lastRenderedPageBreak/>
              <w:t xml:space="preserve">предусмотренному подпуктами 3.3 пункта 3 настоящих Порядка и условий, </w:t>
            </w:r>
          </w:p>
          <w:p w:rsidR="00FE4A63" w:rsidRDefault="00B67C97" w:rsidP="00FE4A63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 xml:space="preserve">- сельскохозяйственным потребительским кооперативам, созданным в соответствии с Федеральным законом от 8 декабря 1995 г. №193-ФЗ «О сельскохозяйственной кооперации» (за исключением кредитных кооперативов); </w:t>
            </w:r>
          </w:p>
          <w:p w:rsidR="00FE4A63" w:rsidRDefault="00B67C97" w:rsidP="00FE4A63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>по направлению, предусмотренному</w:t>
            </w:r>
            <w:r w:rsidR="00B2277E">
              <w:rPr>
                <w:noProof/>
                <w:sz w:val="28"/>
                <w:szCs w:val="28"/>
                <w:shd w:val="clear" w:color="auto" w:fill="FFFFFF"/>
              </w:rPr>
              <w:t xml:space="preserve"> подпунктом 3.4 пункта 3 настоящих Порядка и условий, </w:t>
            </w:r>
          </w:p>
          <w:p w:rsidR="00FE4A63" w:rsidRDefault="00B2277E" w:rsidP="00FE4A63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>- организациям потребительской кооперации, созданным в соответствии с Законом Российской Федерации от 19 июня 1992 г. № 3085-1 «О потребительской кооперации (потребительских обществах, их союзах) в Российской Федерации», осуществляющим вид экономической деятельности «Произв</w:t>
            </w:r>
            <w:r w:rsidR="00FE4A63">
              <w:rPr>
                <w:noProof/>
                <w:sz w:val="28"/>
                <w:szCs w:val="28"/>
                <w:shd w:val="clear" w:color="auto" w:fill="FFFFFF"/>
              </w:rPr>
              <w:t>одство пищевых продуктов» и  (или) «Производство напитков». (п. 5 Постановления Правительства Нижегородской области от 15.12.2015 № 834).</w:t>
            </w:r>
          </w:p>
          <w:p w:rsidR="00B67C97" w:rsidRPr="00924FEC" w:rsidRDefault="00FE4A63" w:rsidP="00FE4A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 xml:space="preserve">2. Предлагается конкретизировать Интернет – ресурс, на котором будет азмещаться информация, указать название сайта (ссылку), что облегчит информационное </w:t>
            </w:r>
            <w:r>
              <w:rPr>
                <w:noProof/>
                <w:sz w:val="28"/>
                <w:szCs w:val="28"/>
                <w:shd w:val="clear" w:color="auto" w:fill="FFFFFF"/>
              </w:rPr>
              <w:lastRenderedPageBreak/>
              <w:t>взаимодействие между Главным распорядителем и участниками отбора (п. 1.7. Проекта).</w:t>
            </w:r>
            <w:r w:rsidR="00B2277E">
              <w:rPr>
                <w:noProof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F96" w:rsidRPr="00924FEC" w:rsidRDefault="001D2F9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  <w:shd w:val="clear" w:color="auto" w:fill="FFFFFF"/>
              </w:rPr>
              <w:lastRenderedPageBreak/>
              <w:t>АНО «Нижегородский центр общественных процедур «Бизнес против коррупции»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22AB" w:rsidRPr="007722AB" w:rsidRDefault="007722AB" w:rsidP="0077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722AB">
              <w:rPr>
                <w:sz w:val="28"/>
                <w:szCs w:val="28"/>
              </w:rPr>
              <w:t xml:space="preserve">В пункте 1.5. нормативно правового акта прописано «Субсидии предоставляются получателям, ведущим финансово-хозяйственную деятельность на территории Сосновского </w:t>
            </w:r>
            <w:r w:rsidRPr="007722AB">
              <w:rPr>
                <w:sz w:val="28"/>
                <w:szCs w:val="28"/>
              </w:rPr>
              <w:lastRenderedPageBreak/>
              <w:t>муниципального округа Нижегородской области и имеющим право на получение субсидии в соответствии с пунктом 5 Порядка и условий. В пункте 5 Порядка и условий (постановление Нижегородской области от 18.04.2024 г. №190), перечислены все имеющие право категории получателей, по которым предлагается внесение предложений.</w:t>
            </w:r>
          </w:p>
          <w:p w:rsidR="006B712F" w:rsidRDefault="006B712F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Default="007722AB" w:rsidP="00B31B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22AB" w:rsidRPr="007722AB" w:rsidRDefault="007722AB" w:rsidP="007722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722AB">
              <w:rPr>
                <w:sz w:val="28"/>
                <w:szCs w:val="28"/>
              </w:rPr>
              <w:t xml:space="preserve">Это необязательно и на усмотрение УСХ. На сайте администрации Сосновского муниципального округа в разделе «Сельское хозяйство» указаны почтовый и </w:t>
            </w:r>
            <w:r w:rsidRPr="007722AB">
              <w:rPr>
                <w:sz w:val="28"/>
                <w:szCs w:val="28"/>
              </w:rPr>
              <w:lastRenderedPageBreak/>
              <w:t>электронный адрес Главного распорядителя средств.</w:t>
            </w:r>
          </w:p>
          <w:p w:rsidR="007722AB" w:rsidRPr="00924FEC" w:rsidRDefault="007722AB" w:rsidP="007722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2AB">
              <w:rPr>
                <w:sz w:val="28"/>
                <w:szCs w:val="28"/>
              </w:rPr>
              <w:t xml:space="preserve">           Но поскольку актуальность ссылок нужно регулярно контролировать и вносить изменения в НПА при каждом изменении в адресе сайта, поэтому указание конкретных ссылок считаем нецелесообразным.</w:t>
            </w:r>
          </w:p>
        </w:tc>
      </w:tr>
      <w:tr w:rsidR="001D2F96" w:rsidRPr="00924FEC" w:rsidTr="002B4A19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F96" w:rsidRPr="00924FEC" w:rsidRDefault="001D2F9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F96" w:rsidRPr="00924FEC" w:rsidRDefault="001D2F96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F96" w:rsidRPr="00924FEC" w:rsidRDefault="00516568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48CE">
              <w:rPr>
                <w:sz w:val="28"/>
                <w:szCs w:val="28"/>
                <w:shd w:val="clear" w:color="auto" w:fill="FFFFFF"/>
              </w:rPr>
              <w:t>Нижегородское региональное отделение «ОПОРЫ РОССИИ»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F96" w:rsidRPr="00924FEC" w:rsidRDefault="001D2F9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-</w:t>
            </w:r>
          </w:p>
        </w:tc>
      </w:tr>
      <w:tr w:rsidR="00F93884" w:rsidRPr="00924FEC" w:rsidTr="00654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884" w:rsidRPr="00924FEC" w:rsidRDefault="001D2F96" w:rsidP="00F9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8E" w:rsidRPr="00924FEC" w:rsidRDefault="00924FEC" w:rsidP="006F65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924FE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3884" w:rsidRPr="00924FEC" w:rsidRDefault="00F93884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24FEC">
              <w:rPr>
                <w:sz w:val="28"/>
                <w:szCs w:val="28"/>
                <w:shd w:val="clear" w:color="auto" w:fill="FFFFFF"/>
              </w:rPr>
              <w:t>АНО «Сосновский центр развития бизнеса»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8E" w:rsidRPr="00924FEC" w:rsidRDefault="00924FEC" w:rsidP="00924FEC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3884" w:rsidRPr="00924FEC" w:rsidTr="00174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884" w:rsidRPr="00924FEC" w:rsidRDefault="001D2F96" w:rsidP="00F9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884" w:rsidRPr="00924FEC" w:rsidRDefault="00174917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3884" w:rsidRPr="00924FEC" w:rsidRDefault="00F93884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24FEC">
              <w:rPr>
                <w:sz w:val="28"/>
                <w:szCs w:val="28"/>
                <w:shd w:val="clear" w:color="auto" w:fill="FFFFFF"/>
              </w:rPr>
              <w:t>ООО «Тент-</w:t>
            </w:r>
            <w:proofErr w:type="spellStart"/>
            <w:r w:rsidRPr="00924FEC">
              <w:rPr>
                <w:sz w:val="28"/>
                <w:szCs w:val="28"/>
                <w:shd w:val="clear" w:color="auto" w:fill="FFFFFF"/>
              </w:rPr>
              <w:t>Пром</w:t>
            </w:r>
            <w:proofErr w:type="spellEnd"/>
            <w:r w:rsidRPr="00924FEC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0682" w:rsidRPr="00924FEC" w:rsidRDefault="00174917" w:rsidP="00174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-</w:t>
            </w:r>
          </w:p>
        </w:tc>
      </w:tr>
      <w:tr w:rsidR="00F93884" w:rsidRPr="00015871" w:rsidTr="00174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884" w:rsidRPr="00924FEC" w:rsidRDefault="001D2F96" w:rsidP="00F9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884" w:rsidRPr="00924FEC" w:rsidRDefault="00174917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3884" w:rsidRPr="00924FEC" w:rsidRDefault="00F93884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24FEC">
              <w:rPr>
                <w:sz w:val="28"/>
                <w:szCs w:val="28"/>
                <w:shd w:val="clear" w:color="auto" w:fill="FFFFFF"/>
              </w:rPr>
              <w:t>ООО «Шанс»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917" w:rsidRPr="004B667B" w:rsidRDefault="00174917" w:rsidP="00174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-</w:t>
            </w:r>
          </w:p>
          <w:p w:rsidR="00F93884" w:rsidRPr="004B667B" w:rsidRDefault="00F93884" w:rsidP="00174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16568" w:rsidRPr="00015871" w:rsidTr="00174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568" w:rsidRPr="00924FEC" w:rsidRDefault="00516568" w:rsidP="00F9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568" w:rsidRPr="00924FEC" w:rsidRDefault="00516568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4FE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568" w:rsidRPr="00924FEC" w:rsidRDefault="00516568" w:rsidP="00F06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ООО «Вкус»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568" w:rsidRPr="00924FEC" w:rsidRDefault="00516568" w:rsidP="00174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35DDE" w:rsidRDefault="00F35DDE" w:rsidP="00EE70EA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  <w:lang w:eastAsia="ru-RU"/>
        </w:rPr>
      </w:pPr>
    </w:p>
    <w:p w:rsidR="001D2F96" w:rsidRDefault="001D2F96" w:rsidP="00EE70EA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  <w:lang w:eastAsia="ru-RU"/>
        </w:rPr>
      </w:pPr>
    </w:p>
    <w:p w:rsidR="00EE70EA" w:rsidRDefault="00EE70EA" w:rsidP="00EE70EA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управления сельского хозяйства</w:t>
      </w:r>
    </w:p>
    <w:p w:rsidR="00EE70EA" w:rsidRDefault="009E1B27" w:rsidP="00EE70EA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="006A5CFF">
        <w:rPr>
          <w:sz w:val="28"/>
          <w:szCs w:val="28"/>
          <w:lang w:eastAsia="ru-RU"/>
        </w:rPr>
        <w:t>дминистрации Сосновского</w:t>
      </w:r>
    </w:p>
    <w:p w:rsidR="002A2D22" w:rsidRDefault="006A5CFF" w:rsidP="00EE70EA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  <w:lang w:eastAsia="ru-RU"/>
        </w:rPr>
      </w:pPr>
      <w:r w:rsidRPr="006A5CFF">
        <w:rPr>
          <w:sz w:val="28"/>
          <w:szCs w:val="28"/>
          <w:lang w:eastAsia="ru-RU"/>
        </w:rPr>
        <w:t xml:space="preserve">муниципального </w:t>
      </w:r>
      <w:r w:rsidR="009E1B27">
        <w:rPr>
          <w:sz w:val="28"/>
          <w:szCs w:val="28"/>
          <w:lang w:eastAsia="ru-RU"/>
        </w:rPr>
        <w:t>округа</w:t>
      </w:r>
      <w:r>
        <w:rPr>
          <w:sz w:val="28"/>
          <w:szCs w:val="28"/>
          <w:lang w:eastAsia="ru-RU"/>
        </w:rPr>
        <w:t xml:space="preserve">             _________________            </w:t>
      </w:r>
      <w:r w:rsidR="00EE70EA">
        <w:rPr>
          <w:sz w:val="28"/>
          <w:szCs w:val="28"/>
          <w:lang w:eastAsia="ru-RU"/>
        </w:rPr>
        <w:t>О.В. Воронцова</w:t>
      </w:r>
    </w:p>
    <w:p w:rsidR="002A2D22" w:rsidRDefault="002A2D22" w:rsidP="002A2D22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</w:t>
      </w:r>
      <w:r w:rsidR="00FA4CE6" w:rsidRPr="008A5552">
        <w:rPr>
          <w:sz w:val="16"/>
          <w:szCs w:val="16"/>
          <w:lang w:eastAsia="ru-RU"/>
        </w:rPr>
        <w:t>(подпись руководителя регулирующего органа)</w:t>
      </w:r>
    </w:p>
    <w:sectPr w:rsidR="002A2D22" w:rsidSect="00B70682">
      <w:footnotePr>
        <w:pos w:val="beneathText"/>
      </w:footnotePr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520"/>
    <w:multiLevelType w:val="hybridMultilevel"/>
    <w:tmpl w:val="9306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208"/>
    <w:multiLevelType w:val="hybridMultilevel"/>
    <w:tmpl w:val="DFD6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5139"/>
    <w:multiLevelType w:val="hybridMultilevel"/>
    <w:tmpl w:val="B1AE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3E3E"/>
    <w:multiLevelType w:val="hybridMultilevel"/>
    <w:tmpl w:val="490E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0050F"/>
    <w:multiLevelType w:val="hybridMultilevel"/>
    <w:tmpl w:val="684CB214"/>
    <w:lvl w:ilvl="0" w:tplc="31B69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569371">
    <w:abstractNumId w:val="1"/>
  </w:num>
  <w:num w:numId="2" w16cid:durableId="921915800">
    <w:abstractNumId w:val="3"/>
  </w:num>
  <w:num w:numId="3" w16cid:durableId="1479106960">
    <w:abstractNumId w:val="4"/>
  </w:num>
  <w:num w:numId="4" w16cid:durableId="1012954649">
    <w:abstractNumId w:val="0"/>
  </w:num>
  <w:num w:numId="5" w16cid:durableId="1854801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E6"/>
    <w:rsid w:val="00015871"/>
    <w:rsid w:val="0003185D"/>
    <w:rsid w:val="0003627E"/>
    <w:rsid w:val="000649FD"/>
    <w:rsid w:val="000D5E7E"/>
    <w:rsid w:val="000F24F1"/>
    <w:rsid w:val="00104FB3"/>
    <w:rsid w:val="00136C0A"/>
    <w:rsid w:val="001562EB"/>
    <w:rsid w:val="00163C25"/>
    <w:rsid w:val="00165ACB"/>
    <w:rsid w:val="00173EBD"/>
    <w:rsid w:val="00174917"/>
    <w:rsid w:val="001A652A"/>
    <w:rsid w:val="001B7089"/>
    <w:rsid w:val="001B76C8"/>
    <w:rsid w:val="001C5363"/>
    <w:rsid w:val="001D2F96"/>
    <w:rsid w:val="001D78AE"/>
    <w:rsid w:val="001F457F"/>
    <w:rsid w:val="002111C5"/>
    <w:rsid w:val="00243B15"/>
    <w:rsid w:val="00281FCE"/>
    <w:rsid w:val="00283A09"/>
    <w:rsid w:val="002A2D22"/>
    <w:rsid w:val="002A6744"/>
    <w:rsid w:val="002B4A19"/>
    <w:rsid w:val="002D10F2"/>
    <w:rsid w:val="00346A0E"/>
    <w:rsid w:val="00353CBA"/>
    <w:rsid w:val="003870CF"/>
    <w:rsid w:val="00394912"/>
    <w:rsid w:val="003E25BC"/>
    <w:rsid w:val="00425902"/>
    <w:rsid w:val="00434733"/>
    <w:rsid w:val="004505F6"/>
    <w:rsid w:val="00453844"/>
    <w:rsid w:val="004554E9"/>
    <w:rsid w:val="004B667B"/>
    <w:rsid w:val="004B6DBE"/>
    <w:rsid w:val="004F1482"/>
    <w:rsid w:val="00501DF8"/>
    <w:rsid w:val="00516568"/>
    <w:rsid w:val="005348CE"/>
    <w:rsid w:val="00536E79"/>
    <w:rsid w:val="0054511F"/>
    <w:rsid w:val="005D3F76"/>
    <w:rsid w:val="00604D17"/>
    <w:rsid w:val="0060647B"/>
    <w:rsid w:val="00654B99"/>
    <w:rsid w:val="006A5685"/>
    <w:rsid w:val="006A5CFF"/>
    <w:rsid w:val="006B712F"/>
    <w:rsid w:val="006F6568"/>
    <w:rsid w:val="00702080"/>
    <w:rsid w:val="00757E5B"/>
    <w:rsid w:val="007722AB"/>
    <w:rsid w:val="007A3784"/>
    <w:rsid w:val="008A71FF"/>
    <w:rsid w:val="008C41CB"/>
    <w:rsid w:val="00913488"/>
    <w:rsid w:val="00924FEC"/>
    <w:rsid w:val="009374BC"/>
    <w:rsid w:val="00993E37"/>
    <w:rsid w:val="009E1B27"/>
    <w:rsid w:val="00A41FAA"/>
    <w:rsid w:val="00AB6E05"/>
    <w:rsid w:val="00B2277E"/>
    <w:rsid w:val="00B267B1"/>
    <w:rsid w:val="00B31B04"/>
    <w:rsid w:val="00B33EA9"/>
    <w:rsid w:val="00B67C97"/>
    <w:rsid w:val="00B70682"/>
    <w:rsid w:val="00BC27BA"/>
    <w:rsid w:val="00C00799"/>
    <w:rsid w:val="00CA1A3C"/>
    <w:rsid w:val="00CA5515"/>
    <w:rsid w:val="00CC3361"/>
    <w:rsid w:val="00CD2BFE"/>
    <w:rsid w:val="00D93332"/>
    <w:rsid w:val="00DA008E"/>
    <w:rsid w:val="00DC5B68"/>
    <w:rsid w:val="00E77B8D"/>
    <w:rsid w:val="00E91B31"/>
    <w:rsid w:val="00EC2A4D"/>
    <w:rsid w:val="00EE70EA"/>
    <w:rsid w:val="00F06C5C"/>
    <w:rsid w:val="00F319E0"/>
    <w:rsid w:val="00F35DDE"/>
    <w:rsid w:val="00F82DED"/>
    <w:rsid w:val="00F93884"/>
    <w:rsid w:val="00FA4CE6"/>
    <w:rsid w:val="00FA5237"/>
    <w:rsid w:val="00FC02B3"/>
    <w:rsid w:val="00FC5279"/>
    <w:rsid w:val="00FE4A63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AC8F"/>
  <w15:docId w15:val="{589B0523-6904-42D1-8E44-94C63B1F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C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5384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3844"/>
    <w:pPr>
      <w:ind w:left="720"/>
      <w:contextualSpacing/>
    </w:pPr>
  </w:style>
  <w:style w:type="paragraph" w:customStyle="1" w:styleId="a6">
    <w:name w:val="Знак"/>
    <w:basedOn w:val="a"/>
    <w:rsid w:val="00993E37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styleId="a7">
    <w:name w:val="Balloon Text"/>
    <w:basedOn w:val="a"/>
    <w:link w:val="a8"/>
    <w:uiPriority w:val="99"/>
    <w:semiHidden/>
    <w:unhideWhenUsed/>
    <w:rsid w:val="00F319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9E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F45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039E-A185-4AC1-8E3E-D30F9331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</dc:creator>
  <cp:keywords/>
  <dc:description/>
  <cp:lastModifiedBy>Алена Крошилина</cp:lastModifiedBy>
  <cp:revision>71</cp:revision>
  <cp:lastPrinted>2024-03-25T12:59:00Z</cp:lastPrinted>
  <dcterms:created xsi:type="dcterms:W3CDTF">2016-08-30T09:13:00Z</dcterms:created>
  <dcterms:modified xsi:type="dcterms:W3CDTF">2024-05-20T13:03:00Z</dcterms:modified>
</cp:coreProperties>
</file>